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59" w:rsidRPr="008C0ED0" w:rsidRDefault="00105359" w:rsidP="00105359">
      <w:pPr>
        <w:pStyle w:val="a3"/>
        <w:spacing w:line="276" w:lineRule="auto"/>
        <w:ind w:firstLine="709"/>
        <w:jc w:val="center"/>
        <w:rPr>
          <w:b/>
          <w:szCs w:val="28"/>
          <w:lang w:val="uk-UA"/>
        </w:rPr>
      </w:pPr>
      <w:r w:rsidRPr="008C0ED0">
        <w:rPr>
          <w:b/>
          <w:szCs w:val="28"/>
          <w:lang w:val="uk-UA"/>
        </w:rPr>
        <w:t xml:space="preserve">Звіт </w:t>
      </w:r>
      <w:r w:rsidR="00266F92" w:rsidRPr="008C0ED0">
        <w:rPr>
          <w:b/>
          <w:szCs w:val="28"/>
          <w:lang w:val="uk-UA"/>
        </w:rPr>
        <w:t xml:space="preserve">про </w:t>
      </w:r>
      <w:r w:rsidRPr="008C0ED0">
        <w:rPr>
          <w:b/>
          <w:szCs w:val="28"/>
          <w:lang w:val="uk-UA"/>
        </w:rPr>
        <w:t>робот</w:t>
      </w:r>
      <w:r w:rsidR="00266F92" w:rsidRPr="008C0ED0">
        <w:rPr>
          <w:b/>
          <w:szCs w:val="28"/>
          <w:lang w:val="uk-UA"/>
        </w:rPr>
        <w:t>у</w:t>
      </w:r>
      <w:r w:rsidRPr="008C0ED0">
        <w:rPr>
          <w:b/>
          <w:szCs w:val="28"/>
          <w:lang w:val="uk-UA"/>
        </w:rPr>
        <w:t xml:space="preserve"> </w:t>
      </w:r>
      <w:r w:rsidR="00266F92" w:rsidRPr="008C0ED0">
        <w:rPr>
          <w:b/>
          <w:szCs w:val="28"/>
          <w:lang w:val="uk-UA"/>
        </w:rPr>
        <w:t xml:space="preserve">відділу </w:t>
      </w:r>
      <w:r w:rsidRPr="008C0ED0">
        <w:rPr>
          <w:b/>
          <w:szCs w:val="28"/>
          <w:lang w:val="uk-UA"/>
        </w:rPr>
        <w:t>Польов</w:t>
      </w:r>
      <w:r w:rsidR="00266F92" w:rsidRPr="008C0ED0">
        <w:rPr>
          <w:b/>
          <w:szCs w:val="28"/>
          <w:lang w:val="uk-UA"/>
        </w:rPr>
        <w:t>ий комітет</w:t>
      </w:r>
      <w:r w:rsidRPr="008C0ED0">
        <w:rPr>
          <w:b/>
          <w:szCs w:val="28"/>
          <w:lang w:val="uk-UA"/>
        </w:rPr>
        <w:t xml:space="preserve"> у 2016 р.</w:t>
      </w:r>
    </w:p>
    <w:p w:rsidR="00105359" w:rsidRPr="008C0ED0" w:rsidRDefault="00105359" w:rsidP="00105359">
      <w:pPr>
        <w:spacing w:line="276" w:lineRule="auto"/>
        <w:ind w:firstLine="680"/>
        <w:jc w:val="both"/>
        <w:rPr>
          <w:smallCaps/>
          <w:sz w:val="28"/>
          <w:szCs w:val="28"/>
          <w:lang w:val="uk-UA"/>
        </w:rPr>
      </w:pPr>
      <w:r w:rsidRPr="008C0ED0">
        <w:rPr>
          <w:sz w:val="28"/>
          <w:szCs w:val="28"/>
          <w:lang w:val="uk-UA"/>
        </w:rPr>
        <w:t xml:space="preserve">Польовий комітет Інституту археології НАН України впродовж 2016 р. у складі 5 співробітників виконував колективну планову тему </w:t>
      </w:r>
      <w:r w:rsidRPr="008C0ED0">
        <w:rPr>
          <w:smallCaps/>
          <w:sz w:val="28"/>
          <w:szCs w:val="28"/>
          <w:lang w:val="uk-UA"/>
        </w:rPr>
        <w:t xml:space="preserve">«МОНІТОРИНГ  АРХЕОЛОГІЧНОГО ПРОСТОРУ УКРАЇНИ — НАПРЯМ НЕРУЙНІВНОЇ АРХЕОЛОГІЇ». </w:t>
      </w:r>
    </w:p>
    <w:p w:rsidR="009C3F90" w:rsidRPr="008C0ED0" w:rsidRDefault="00105359" w:rsidP="00105359">
      <w:pPr>
        <w:spacing w:line="276" w:lineRule="auto"/>
        <w:ind w:firstLine="680"/>
        <w:jc w:val="both"/>
        <w:rPr>
          <w:sz w:val="28"/>
          <w:szCs w:val="28"/>
          <w:lang w:val="uk-UA"/>
        </w:rPr>
      </w:pPr>
      <w:r w:rsidRPr="008C0ED0">
        <w:rPr>
          <w:sz w:val="28"/>
          <w:szCs w:val="28"/>
          <w:lang w:val="uk-UA"/>
        </w:rPr>
        <w:t>Відповідно до мети й завдань своєї діяльності за дорученням Кваліфікаційної ради з питань видачі кваліфікаційних документів (Відкритих листів) Польовий комітет протягом 2016 р. приймав та розглядав заяви щодо отримання Відкритого листа на відповідність вимогам, зазначеним у «Положенні про кваліфікаційний документ (Відкритий лист) на право проведення наукового дослідження археологічної спадщини», організовував роботу  комісії «Польовий комітет», здійснював організаційне забезпечення її засідань, вів протокольну, наукову та ділову документацію «Польового комітету» та Кваліфікаційної ради (за дорученням), готував матеріали на розгляд засідань Комісії «Польовий комітет» та Кваліфікаційної ради, вів облік Відкритих листів та зданих Наукових звітів про проведенні дослідження археологічної спадщини в електронній базі даних.</w:t>
      </w:r>
    </w:p>
    <w:p w:rsidR="00105359" w:rsidRPr="008C0ED0" w:rsidRDefault="00105359" w:rsidP="00105359">
      <w:pPr>
        <w:spacing w:line="276" w:lineRule="auto"/>
        <w:ind w:firstLine="709"/>
        <w:jc w:val="both"/>
        <w:rPr>
          <w:sz w:val="28"/>
          <w:szCs w:val="28"/>
          <w:lang w:val="uk-UA"/>
        </w:rPr>
      </w:pPr>
      <w:r w:rsidRPr="008C0ED0">
        <w:rPr>
          <w:sz w:val="28"/>
          <w:szCs w:val="28"/>
          <w:lang w:val="uk-UA"/>
        </w:rPr>
        <w:t xml:space="preserve">Підготовлено матеріалів загальним обсягом </w:t>
      </w:r>
      <w:r w:rsidRPr="008C0ED0">
        <w:rPr>
          <w:b/>
          <w:sz w:val="28"/>
          <w:szCs w:val="28"/>
          <w:lang w:val="uk-UA"/>
        </w:rPr>
        <w:t>3,75 д.а.</w:t>
      </w:r>
      <w:r w:rsidRPr="008C0ED0">
        <w:rPr>
          <w:sz w:val="28"/>
          <w:szCs w:val="28"/>
          <w:lang w:val="uk-UA"/>
        </w:rPr>
        <w:t xml:space="preserve"> до </w:t>
      </w:r>
      <w:r w:rsidRPr="008C0ED0">
        <w:rPr>
          <w:b/>
          <w:sz w:val="28"/>
          <w:szCs w:val="28"/>
          <w:lang w:val="uk-UA"/>
        </w:rPr>
        <w:t>2</w:t>
      </w:r>
      <w:r w:rsidRPr="008C0ED0">
        <w:rPr>
          <w:sz w:val="28"/>
          <w:szCs w:val="28"/>
          <w:lang w:val="uk-UA"/>
        </w:rPr>
        <w:t xml:space="preserve"> засідань Комісії «Польового комітету» із врахуванням зауважень рецензентів наукових звітів за попередніми науковими дослідженнями, наявності рекомендацій, правомірності проведення, характеру та об’єкту досліджень</w:t>
      </w:r>
    </w:p>
    <w:p w:rsidR="00105359" w:rsidRPr="008C0ED0" w:rsidRDefault="00105359" w:rsidP="00105359">
      <w:pPr>
        <w:spacing w:line="276" w:lineRule="auto"/>
        <w:ind w:firstLine="680"/>
        <w:jc w:val="both"/>
        <w:rPr>
          <w:sz w:val="28"/>
          <w:szCs w:val="28"/>
          <w:lang w:val="uk-UA"/>
        </w:rPr>
      </w:pPr>
      <w:r w:rsidRPr="008C0ED0">
        <w:rPr>
          <w:sz w:val="28"/>
          <w:szCs w:val="28"/>
          <w:lang w:val="uk-UA"/>
        </w:rPr>
        <w:t xml:space="preserve">Підготовлено матеріалів на </w:t>
      </w:r>
      <w:r w:rsidRPr="008C0ED0">
        <w:rPr>
          <w:b/>
          <w:sz w:val="28"/>
          <w:szCs w:val="28"/>
          <w:lang w:val="uk-UA"/>
        </w:rPr>
        <w:t>167</w:t>
      </w:r>
      <w:r w:rsidRPr="008C0ED0">
        <w:rPr>
          <w:sz w:val="28"/>
          <w:szCs w:val="28"/>
          <w:lang w:val="uk-UA"/>
        </w:rPr>
        <w:t xml:space="preserve"> археологів на проведення археологічних досліджень загальним обсягом </w:t>
      </w:r>
      <w:r w:rsidRPr="008C0ED0">
        <w:rPr>
          <w:b/>
          <w:sz w:val="28"/>
          <w:szCs w:val="28"/>
          <w:lang w:val="uk-UA"/>
        </w:rPr>
        <w:t>2,67 д.а.</w:t>
      </w:r>
      <w:r w:rsidRPr="008C0ED0">
        <w:rPr>
          <w:sz w:val="28"/>
          <w:szCs w:val="28"/>
          <w:lang w:val="uk-UA"/>
        </w:rPr>
        <w:t xml:space="preserve"> до  </w:t>
      </w:r>
      <w:r w:rsidRPr="008C0ED0">
        <w:rPr>
          <w:b/>
          <w:sz w:val="28"/>
          <w:szCs w:val="28"/>
          <w:lang w:val="uk-UA"/>
        </w:rPr>
        <w:t>5</w:t>
      </w:r>
      <w:r w:rsidRPr="008C0ED0">
        <w:rPr>
          <w:sz w:val="28"/>
          <w:szCs w:val="28"/>
          <w:lang w:val="uk-UA"/>
        </w:rPr>
        <w:t xml:space="preserve"> засідань Кваліфікаційної ради з питань видачі кваліфікаційних документів (Відкритих листів) на підставі рішень Комісії «Польовий комітет».</w:t>
      </w:r>
    </w:p>
    <w:p w:rsidR="00105359" w:rsidRPr="008C0ED0" w:rsidRDefault="00105359" w:rsidP="00105359">
      <w:pPr>
        <w:spacing w:line="276" w:lineRule="auto"/>
        <w:ind w:firstLine="680"/>
        <w:jc w:val="both"/>
        <w:rPr>
          <w:sz w:val="28"/>
          <w:szCs w:val="28"/>
          <w:lang w:val="uk-UA"/>
        </w:rPr>
      </w:pPr>
      <w:r w:rsidRPr="008C0ED0">
        <w:rPr>
          <w:sz w:val="28"/>
          <w:szCs w:val="28"/>
          <w:lang w:val="uk-UA"/>
        </w:rPr>
        <w:t>На підставі рішень Кваліфікаційної ради було підготовлено 303 Відкритих листа (таб.1, 2)</w:t>
      </w:r>
    </w:p>
    <w:p w:rsidR="00105359" w:rsidRPr="008C0ED0" w:rsidRDefault="00105359" w:rsidP="00105359">
      <w:pPr>
        <w:spacing w:line="360" w:lineRule="auto"/>
        <w:ind w:firstLine="709"/>
        <w:jc w:val="right"/>
        <w:rPr>
          <w:b/>
          <w:bCs/>
          <w:lang w:val="uk-UA"/>
        </w:rPr>
      </w:pPr>
      <w:r w:rsidRPr="008C0ED0">
        <w:rPr>
          <w:b/>
          <w:bCs/>
          <w:lang w:val="uk-UA"/>
        </w:rPr>
        <w:t>Таблиця 1</w:t>
      </w:r>
    </w:p>
    <w:p w:rsidR="00105359" w:rsidRPr="008C0ED0" w:rsidRDefault="00105359" w:rsidP="00105359">
      <w:pPr>
        <w:spacing w:line="360" w:lineRule="auto"/>
        <w:ind w:firstLine="709"/>
        <w:jc w:val="center"/>
        <w:rPr>
          <w:b/>
          <w:lang w:val="uk-UA"/>
        </w:rPr>
      </w:pPr>
      <w:r w:rsidRPr="008C0ED0">
        <w:rPr>
          <w:b/>
          <w:lang w:val="uk-UA"/>
        </w:rPr>
        <w:t>Кількість виданих кваліфікаційних документів по видах досліджень</w:t>
      </w:r>
    </w:p>
    <w:tbl>
      <w:tblPr>
        <w:tblW w:w="0" w:type="auto"/>
        <w:tblInd w:w="1714" w:type="dxa"/>
        <w:tblLayout w:type="fixed"/>
        <w:tblLook w:val="0000"/>
      </w:tblPr>
      <w:tblGrid>
        <w:gridCol w:w="2849"/>
        <w:gridCol w:w="3311"/>
      </w:tblGrid>
      <w:tr w:rsidR="00105359" w:rsidRPr="008C0ED0" w:rsidTr="00B527EB">
        <w:tc>
          <w:tcPr>
            <w:tcW w:w="2849"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spacing w:line="360" w:lineRule="auto"/>
              <w:ind w:firstLine="709"/>
              <w:jc w:val="both"/>
              <w:rPr>
                <w:b/>
                <w:sz w:val="20"/>
                <w:szCs w:val="20"/>
                <w:lang w:val="uk-UA"/>
              </w:rPr>
            </w:pPr>
            <w:r w:rsidRPr="008C0ED0">
              <w:rPr>
                <w:b/>
                <w:sz w:val="20"/>
                <w:szCs w:val="20"/>
                <w:lang w:val="uk-UA"/>
              </w:rPr>
              <w:t>Форма</w:t>
            </w:r>
          </w:p>
        </w:tc>
        <w:tc>
          <w:tcPr>
            <w:tcW w:w="3311" w:type="dxa"/>
            <w:tcBorders>
              <w:top w:val="single" w:sz="4" w:space="0" w:color="000000"/>
              <w:left w:val="single" w:sz="4" w:space="0" w:color="000000"/>
              <w:bottom w:val="single" w:sz="4" w:space="0" w:color="000000"/>
              <w:right w:val="single" w:sz="4" w:space="0" w:color="000000"/>
            </w:tcBorders>
            <w:shd w:val="clear" w:color="auto" w:fill="C0C0C0"/>
          </w:tcPr>
          <w:p w:rsidR="00105359" w:rsidRPr="008C0ED0" w:rsidRDefault="00105359" w:rsidP="00105359">
            <w:pPr>
              <w:snapToGrid w:val="0"/>
              <w:spacing w:line="360" w:lineRule="auto"/>
              <w:ind w:firstLine="709"/>
              <w:jc w:val="both"/>
              <w:rPr>
                <w:b/>
                <w:sz w:val="20"/>
                <w:szCs w:val="20"/>
                <w:lang w:val="uk-UA"/>
              </w:rPr>
            </w:pPr>
            <w:r w:rsidRPr="008C0ED0">
              <w:rPr>
                <w:b/>
                <w:sz w:val="20"/>
                <w:szCs w:val="20"/>
                <w:lang w:val="uk-UA"/>
              </w:rPr>
              <w:t>Кількість7</w:t>
            </w:r>
          </w:p>
        </w:tc>
      </w:tr>
      <w:tr w:rsidR="00105359" w:rsidRPr="008C0ED0" w:rsidTr="00B527EB">
        <w:trPr>
          <w:trHeight w:val="224"/>
        </w:trPr>
        <w:tc>
          <w:tcPr>
            <w:tcW w:w="2849"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1</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87</w:t>
            </w:r>
          </w:p>
        </w:tc>
      </w:tr>
      <w:tr w:rsidR="00105359" w:rsidRPr="008C0ED0" w:rsidTr="00B527EB">
        <w:tc>
          <w:tcPr>
            <w:tcW w:w="2849"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2</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70</w:t>
            </w:r>
          </w:p>
        </w:tc>
      </w:tr>
      <w:tr w:rsidR="00105359" w:rsidRPr="008C0ED0" w:rsidTr="00B527EB">
        <w:tc>
          <w:tcPr>
            <w:tcW w:w="2849"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3</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17</w:t>
            </w:r>
          </w:p>
        </w:tc>
      </w:tr>
      <w:tr w:rsidR="00105359" w:rsidRPr="008C0ED0" w:rsidTr="00B527EB">
        <w:tc>
          <w:tcPr>
            <w:tcW w:w="2849"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4</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97</w:t>
            </w:r>
          </w:p>
        </w:tc>
      </w:tr>
      <w:tr w:rsidR="00105359" w:rsidRPr="008C0ED0" w:rsidTr="00B527EB">
        <w:tc>
          <w:tcPr>
            <w:tcW w:w="2849"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5</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2</w:t>
            </w:r>
          </w:p>
        </w:tc>
      </w:tr>
      <w:tr w:rsidR="00105359" w:rsidRPr="008C0ED0" w:rsidTr="00B527EB">
        <w:tc>
          <w:tcPr>
            <w:tcW w:w="2849"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6</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center"/>
              <w:rPr>
                <w:b/>
                <w:lang w:val="uk-UA"/>
              </w:rPr>
            </w:pPr>
            <w:r w:rsidRPr="008C0ED0">
              <w:rPr>
                <w:b/>
                <w:lang w:val="uk-UA"/>
              </w:rPr>
              <w:t>30</w:t>
            </w:r>
          </w:p>
        </w:tc>
      </w:tr>
      <w:tr w:rsidR="00105359" w:rsidRPr="008C0ED0" w:rsidTr="00B527EB">
        <w:tc>
          <w:tcPr>
            <w:tcW w:w="2849"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spacing w:line="360" w:lineRule="auto"/>
              <w:ind w:firstLine="709"/>
              <w:jc w:val="center"/>
              <w:rPr>
                <w:b/>
                <w:lang w:val="uk-UA"/>
              </w:rPr>
            </w:pPr>
            <w:r w:rsidRPr="008C0ED0">
              <w:rPr>
                <w:b/>
                <w:lang w:val="uk-UA"/>
              </w:rPr>
              <w:t>Всього</w:t>
            </w:r>
          </w:p>
        </w:tc>
        <w:tc>
          <w:tcPr>
            <w:tcW w:w="3311" w:type="dxa"/>
            <w:tcBorders>
              <w:top w:val="single" w:sz="4" w:space="0" w:color="000000"/>
              <w:left w:val="single" w:sz="4" w:space="0" w:color="000000"/>
              <w:bottom w:val="single" w:sz="4" w:space="0" w:color="000000"/>
              <w:right w:val="single" w:sz="4" w:space="0" w:color="000000"/>
            </w:tcBorders>
            <w:shd w:val="clear" w:color="auto" w:fill="C0C0C0"/>
          </w:tcPr>
          <w:p w:rsidR="00105359" w:rsidRPr="008C0ED0" w:rsidRDefault="00105359" w:rsidP="00105359">
            <w:pPr>
              <w:snapToGrid w:val="0"/>
              <w:spacing w:line="360" w:lineRule="auto"/>
              <w:ind w:firstLine="709"/>
              <w:jc w:val="center"/>
              <w:rPr>
                <w:b/>
                <w:lang w:val="uk-UA"/>
              </w:rPr>
            </w:pPr>
            <w:r w:rsidRPr="008C0ED0">
              <w:rPr>
                <w:b/>
                <w:lang w:val="uk-UA"/>
              </w:rPr>
              <w:t>303</w:t>
            </w:r>
          </w:p>
        </w:tc>
      </w:tr>
    </w:tbl>
    <w:p w:rsidR="003753CD" w:rsidRDefault="003753CD" w:rsidP="00105359">
      <w:pPr>
        <w:spacing w:line="360" w:lineRule="auto"/>
        <w:ind w:firstLine="709"/>
        <w:jc w:val="right"/>
        <w:rPr>
          <w:b/>
          <w:lang w:val="uk-UA"/>
        </w:rPr>
      </w:pPr>
    </w:p>
    <w:p w:rsidR="00105359" w:rsidRPr="008C0ED0" w:rsidRDefault="00105359" w:rsidP="00105359">
      <w:pPr>
        <w:spacing w:line="360" w:lineRule="auto"/>
        <w:ind w:firstLine="709"/>
        <w:jc w:val="right"/>
        <w:rPr>
          <w:b/>
          <w:lang w:val="uk-UA"/>
        </w:rPr>
      </w:pPr>
      <w:r w:rsidRPr="008C0ED0">
        <w:rPr>
          <w:b/>
          <w:lang w:val="uk-UA"/>
        </w:rPr>
        <w:lastRenderedPageBreak/>
        <w:t>Таблиця 2</w:t>
      </w:r>
    </w:p>
    <w:p w:rsidR="00105359" w:rsidRPr="008C0ED0" w:rsidRDefault="00105359" w:rsidP="00105359">
      <w:pPr>
        <w:spacing w:line="360" w:lineRule="auto"/>
        <w:ind w:firstLine="709"/>
        <w:jc w:val="center"/>
        <w:rPr>
          <w:b/>
          <w:lang w:val="uk-UA"/>
        </w:rPr>
      </w:pPr>
      <w:r w:rsidRPr="008C0ED0">
        <w:rPr>
          <w:b/>
          <w:lang w:val="uk-UA"/>
        </w:rPr>
        <w:t>Видано кваліфікаційних документів установам</w:t>
      </w:r>
    </w:p>
    <w:tbl>
      <w:tblPr>
        <w:tblW w:w="9538" w:type="dxa"/>
        <w:tblInd w:w="108" w:type="dxa"/>
        <w:tblLayout w:type="fixed"/>
        <w:tblLook w:val="0000"/>
      </w:tblPr>
      <w:tblGrid>
        <w:gridCol w:w="3070"/>
        <w:gridCol w:w="2142"/>
        <w:gridCol w:w="2143"/>
        <w:gridCol w:w="2183"/>
      </w:tblGrid>
      <w:tr w:rsidR="00105359" w:rsidRPr="008C0ED0" w:rsidTr="00105359">
        <w:trPr>
          <w:tblHeader/>
        </w:trPr>
        <w:tc>
          <w:tcPr>
            <w:tcW w:w="3070"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jc w:val="center"/>
              <w:rPr>
                <w:rFonts w:eastAsia="Arial"/>
                <w:b/>
                <w:sz w:val="20"/>
                <w:szCs w:val="20"/>
                <w:lang w:val="uk-UA"/>
              </w:rPr>
            </w:pPr>
            <w:r w:rsidRPr="008C0ED0">
              <w:rPr>
                <w:rFonts w:eastAsia="Arial"/>
                <w:b/>
                <w:sz w:val="20"/>
                <w:szCs w:val="20"/>
                <w:lang w:val="uk-UA"/>
              </w:rPr>
              <w:t>Установа</w:t>
            </w:r>
          </w:p>
        </w:tc>
        <w:tc>
          <w:tcPr>
            <w:tcW w:w="2142"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jc w:val="center"/>
              <w:rPr>
                <w:rFonts w:eastAsia="Arial"/>
                <w:b/>
                <w:sz w:val="20"/>
                <w:szCs w:val="20"/>
                <w:lang w:val="uk-UA"/>
              </w:rPr>
            </w:pPr>
            <w:r w:rsidRPr="008C0ED0">
              <w:rPr>
                <w:rFonts w:eastAsia="Arial"/>
                <w:b/>
                <w:sz w:val="20"/>
                <w:szCs w:val="20"/>
                <w:lang w:val="uk-UA"/>
              </w:rPr>
              <w:t>Кількість</w:t>
            </w:r>
          </w:p>
          <w:p w:rsidR="00105359" w:rsidRPr="008C0ED0" w:rsidRDefault="00105359" w:rsidP="00105359">
            <w:pPr>
              <w:jc w:val="center"/>
              <w:rPr>
                <w:rFonts w:eastAsia="Arial"/>
                <w:b/>
                <w:sz w:val="20"/>
                <w:szCs w:val="20"/>
                <w:lang w:val="uk-UA"/>
              </w:rPr>
            </w:pPr>
            <w:r w:rsidRPr="008C0ED0">
              <w:rPr>
                <w:rFonts w:eastAsia="Arial"/>
                <w:b/>
                <w:sz w:val="20"/>
                <w:szCs w:val="20"/>
                <w:lang w:val="uk-UA"/>
              </w:rPr>
              <w:t>у 2016 р.</w:t>
            </w:r>
          </w:p>
        </w:tc>
        <w:tc>
          <w:tcPr>
            <w:tcW w:w="2143"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jc w:val="center"/>
              <w:rPr>
                <w:rFonts w:eastAsia="Arial"/>
                <w:b/>
                <w:sz w:val="20"/>
                <w:szCs w:val="20"/>
                <w:lang w:val="uk-UA"/>
              </w:rPr>
            </w:pPr>
            <w:r w:rsidRPr="008C0ED0">
              <w:rPr>
                <w:rFonts w:eastAsia="Arial"/>
                <w:b/>
                <w:sz w:val="20"/>
                <w:szCs w:val="20"/>
                <w:lang w:val="uk-UA"/>
              </w:rPr>
              <w:t>Процентне відношення</w:t>
            </w:r>
          </w:p>
          <w:p w:rsidR="00105359" w:rsidRPr="008C0ED0" w:rsidRDefault="00105359" w:rsidP="00105359">
            <w:pPr>
              <w:jc w:val="center"/>
              <w:rPr>
                <w:rFonts w:eastAsia="Arial"/>
                <w:b/>
                <w:sz w:val="20"/>
                <w:szCs w:val="20"/>
                <w:lang w:val="uk-UA"/>
              </w:rPr>
            </w:pPr>
            <w:r w:rsidRPr="008C0ED0">
              <w:rPr>
                <w:rFonts w:eastAsia="Arial"/>
                <w:b/>
                <w:sz w:val="20"/>
                <w:szCs w:val="20"/>
                <w:lang w:val="uk-UA"/>
              </w:rPr>
              <w:t>(2016 р.)</w:t>
            </w:r>
          </w:p>
        </w:tc>
        <w:tc>
          <w:tcPr>
            <w:tcW w:w="2183" w:type="dxa"/>
            <w:tcBorders>
              <w:top w:val="single" w:sz="4" w:space="0" w:color="000000"/>
              <w:left w:val="single" w:sz="4" w:space="0" w:color="000000"/>
              <w:bottom w:val="single" w:sz="4" w:space="0" w:color="000000"/>
              <w:right w:val="single" w:sz="4" w:space="0" w:color="000000"/>
            </w:tcBorders>
            <w:shd w:val="clear" w:color="auto" w:fill="C0C0C0"/>
          </w:tcPr>
          <w:p w:rsidR="00105359" w:rsidRPr="008C0ED0" w:rsidRDefault="00105359" w:rsidP="00105359">
            <w:pPr>
              <w:snapToGrid w:val="0"/>
              <w:jc w:val="center"/>
              <w:rPr>
                <w:rFonts w:eastAsia="Arial"/>
                <w:b/>
                <w:sz w:val="20"/>
                <w:szCs w:val="20"/>
                <w:lang w:val="uk-UA"/>
              </w:rPr>
            </w:pPr>
            <w:r w:rsidRPr="008C0ED0">
              <w:rPr>
                <w:rFonts w:eastAsia="Arial"/>
                <w:b/>
                <w:sz w:val="20"/>
                <w:szCs w:val="20"/>
                <w:lang w:val="uk-UA"/>
              </w:rPr>
              <w:t>Кількість</w:t>
            </w:r>
          </w:p>
          <w:p w:rsidR="00105359" w:rsidRPr="008C0ED0" w:rsidRDefault="00105359" w:rsidP="00105359">
            <w:pPr>
              <w:jc w:val="center"/>
              <w:rPr>
                <w:rFonts w:eastAsia="Arial"/>
                <w:b/>
                <w:sz w:val="20"/>
                <w:szCs w:val="20"/>
                <w:lang w:val="uk-UA"/>
              </w:rPr>
            </w:pPr>
            <w:r w:rsidRPr="008C0ED0">
              <w:rPr>
                <w:rFonts w:eastAsia="Arial"/>
                <w:b/>
                <w:sz w:val="20"/>
                <w:szCs w:val="20"/>
                <w:lang w:val="uk-UA"/>
              </w:rPr>
              <w:t>у 2015 р.</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r w:rsidRPr="008C0ED0">
              <w:rPr>
                <w:rFonts w:eastAsia="Arial"/>
                <w:lang w:val="uk-UA"/>
              </w:rPr>
              <w:t>Інститут археології НАН України</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89</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29,4%</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89</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proofErr w:type="spellStart"/>
            <w:r w:rsidRPr="008C0ED0">
              <w:rPr>
                <w:rFonts w:eastAsia="Arial"/>
                <w:lang w:val="uk-UA"/>
              </w:rPr>
              <w:t>ДП</w:t>
            </w:r>
            <w:proofErr w:type="spellEnd"/>
            <w:r w:rsidRPr="008C0ED0">
              <w:rPr>
                <w:rFonts w:eastAsia="Arial"/>
                <w:lang w:val="uk-UA"/>
              </w:rPr>
              <w:t xml:space="preserve"> НДЦ ОАСУ Інституту археології НАН України</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108</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35,6%</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78</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r w:rsidRPr="008C0ED0">
              <w:rPr>
                <w:rFonts w:eastAsia="Arial"/>
                <w:lang w:val="uk-UA"/>
              </w:rPr>
              <w:t>Інші установи Інституту археології НАН України</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14</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4,6%</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3</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r w:rsidRPr="008C0ED0">
              <w:rPr>
                <w:rFonts w:eastAsia="Arial"/>
                <w:lang w:val="uk-UA"/>
              </w:rPr>
              <w:t>Інші установи НАН України</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9</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3,0%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10</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r w:rsidRPr="008C0ED0">
              <w:rPr>
                <w:rFonts w:eastAsia="Arial"/>
                <w:lang w:val="uk-UA"/>
              </w:rPr>
              <w:t>Університети</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44</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14,5%</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44</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r w:rsidRPr="008C0ED0">
              <w:rPr>
                <w:rFonts w:eastAsia="Arial"/>
                <w:lang w:val="uk-UA"/>
              </w:rPr>
              <w:t>Заповідники</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14</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4,6%</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13</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r w:rsidRPr="008C0ED0">
              <w:rPr>
                <w:rFonts w:eastAsia="Arial"/>
                <w:lang w:val="uk-UA"/>
              </w:rPr>
              <w:t>музеї</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20</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6,6%</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4</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rPr>
                <w:rFonts w:eastAsia="Arial"/>
                <w:lang w:val="uk-UA"/>
              </w:rPr>
            </w:pPr>
            <w:r w:rsidRPr="008C0ED0">
              <w:rPr>
                <w:rFonts w:eastAsia="Arial"/>
                <w:lang w:val="uk-UA"/>
              </w:rPr>
              <w:t>Інші установи</w:t>
            </w:r>
          </w:p>
        </w:tc>
        <w:tc>
          <w:tcPr>
            <w:tcW w:w="2142"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5</w:t>
            </w:r>
          </w:p>
        </w:tc>
        <w:tc>
          <w:tcPr>
            <w:tcW w:w="2143" w:type="dxa"/>
            <w:tcBorders>
              <w:top w:val="single" w:sz="4" w:space="0" w:color="000000"/>
              <w:left w:val="single" w:sz="4" w:space="0" w:color="000000"/>
              <w:bottom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1,7%</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105359" w:rsidRPr="008C0ED0" w:rsidRDefault="00105359" w:rsidP="00105359">
            <w:pPr>
              <w:snapToGrid w:val="0"/>
              <w:spacing w:line="360" w:lineRule="auto"/>
              <w:ind w:firstLine="709"/>
              <w:jc w:val="both"/>
              <w:rPr>
                <w:b/>
                <w:lang w:val="uk-UA"/>
              </w:rPr>
            </w:pPr>
            <w:r w:rsidRPr="008C0ED0">
              <w:rPr>
                <w:b/>
                <w:lang w:val="uk-UA"/>
              </w:rPr>
              <w:t>5</w:t>
            </w:r>
          </w:p>
        </w:tc>
      </w:tr>
      <w:tr w:rsidR="00105359" w:rsidRPr="008C0ED0" w:rsidTr="00105359">
        <w:tc>
          <w:tcPr>
            <w:tcW w:w="3070"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spacing w:line="360" w:lineRule="auto"/>
              <w:ind w:firstLine="709"/>
              <w:jc w:val="both"/>
              <w:rPr>
                <w:b/>
                <w:lang w:val="uk-UA"/>
              </w:rPr>
            </w:pPr>
            <w:r w:rsidRPr="008C0ED0">
              <w:rPr>
                <w:b/>
                <w:sz w:val="28"/>
                <w:szCs w:val="28"/>
                <w:lang w:val="uk-UA"/>
              </w:rPr>
              <w:t>Всього</w:t>
            </w:r>
          </w:p>
        </w:tc>
        <w:tc>
          <w:tcPr>
            <w:tcW w:w="2142"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spacing w:line="360" w:lineRule="auto"/>
              <w:ind w:firstLine="709"/>
              <w:jc w:val="both"/>
              <w:rPr>
                <w:b/>
                <w:lang w:val="uk-UA"/>
              </w:rPr>
            </w:pPr>
            <w:r w:rsidRPr="008C0ED0">
              <w:rPr>
                <w:b/>
                <w:sz w:val="28"/>
                <w:szCs w:val="28"/>
                <w:lang w:val="uk-UA"/>
              </w:rPr>
              <w:t>303</w:t>
            </w:r>
          </w:p>
        </w:tc>
        <w:tc>
          <w:tcPr>
            <w:tcW w:w="2143" w:type="dxa"/>
            <w:tcBorders>
              <w:top w:val="single" w:sz="4" w:space="0" w:color="000000"/>
              <w:left w:val="single" w:sz="4" w:space="0" w:color="000000"/>
              <w:bottom w:val="single" w:sz="4" w:space="0" w:color="000000"/>
            </w:tcBorders>
            <w:shd w:val="clear" w:color="auto" w:fill="C0C0C0"/>
          </w:tcPr>
          <w:p w:rsidR="00105359" w:rsidRPr="008C0ED0" w:rsidRDefault="00105359" w:rsidP="00105359">
            <w:pPr>
              <w:snapToGrid w:val="0"/>
              <w:spacing w:line="360" w:lineRule="auto"/>
              <w:ind w:firstLine="709"/>
              <w:jc w:val="both"/>
              <w:rPr>
                <w:b/>
                <w:lang w:val="uk-UA"/>
              </w:rPr>
            </w:pPr>
            <w:r w:rsidRPr="008C0ED0">
              <w:rPr>
                <w:b/>
                <w:sz w:val="28"/>
                <w:szCs w:val="28"/>
                <w:lang w:val="uk-UA"/>
              </w:rPr>
              <w:t>100%</w:t>
            </w:r>
          </w:p>
        </w:tc>
        <w:tc>
          <w:tcPr>
            <w:tcW w:w="2183" w:type="dxa"/>
            <w:tcBorders>
              <w:top w:val="single" w:sz="4" w:space="0" w:color="000000"/>
              <w:left w:val="single" w:sz="4" w:space="0" w:color="000000"/>
              <w:bottom w:val="single" w:sz="4" w:space="0" w:color="000000"/>
              <w:right w:val="single" w:sz="4" w:space="0" w:color="000000"/>
            </w:tcBorders>
            <w:shd w:val="clear" w:color="auto" w:fill="C0C0C0"/>
          </w:tcPr>
          <w:p w:rsidR="00105359" w:rsidRPr="008C0ED0" w:rsidRDefault="00105359" w:rsidP="00105359">
            <w:pPr>
              <w:snapToGrid w:val="0"/>
              <w:spacing w:line="360" w:lineRule="auto"/>
              <w:ind w:firstLine="709"/>
              <w:jc w:val="both"/>
              <w:rPr>
                <w:b/>
                <w:lang w:val="uk-UA"/>
              </w:rPr>
            </w:pPr>
            <w:r w:rsidRPr="008C0ED0">
              <w:rPr>
                <w:b/>
                <w:sz w:val="28"/>
                <w:szCs w:val="28"/>
                <w:lang w:val="uk-UA"/>
              </w:rPr>
              <w:t>246</w:t>
            </w:r>
          </w:p>
        </w:tc>
      </w:tr>
    </w:tbl>
    <w:p w:rsidR="00105359" w:rsidRPr="008C0ED0" w:rsidRDefault="00105359" w:rsidP="00105359">
      <w:pPr>
        <w:spacing w:line="360" w:lineRule="auto"/>
        <w:ind w:firstLine="709"/>
        <w:jc w:val="both"/>
        <w:rPr>
          <w:sz w:val="28"/>
          <w:szCs w:val="28"/>
          <w:lang w:val="uk-UA"/>
        </w:rPr>
      </w:pPr>
      <w:r w:rsidRPr="008C0ED0">
        <w:rPr>
          <w:sz w:val="28"/>
          <w:szCs w:val="28"/>
          <w:lang w:val="uk-UA"/>
        </w:rPr>
        <w:t xml:space="preserve">Важливим показником розвитку польової археології і формування археологічних джерел є введення до наукового обігу інформації про пам’ятки (об’єкти) археології. Відомо, що пам’ятка, яка досліджується, практично знищується повністю або частково, тому особлива увага Польового комітету зверталась на те, як результати польових досліджень вводяться до наукового обігу. Польовим комітетом зібрано матеріали,  підготовлено до друку щорічний збірник, в якому містяться інформаційні повідомлення про роботу археологічних експедицій, результати найновіших польових досліджень в Україні –  </w:t>
      </w:r>
      <w:r w:rsidRPr="008C0ED0">
        <w:rPr>
          <w:b/>
          <w:bCs/>
          <w:sz w:val="28"/>
          <w:szCs w:val="28"/>
          <w:lang w:val="uk-UA"/>
        </w:rPr>
        <w:t>«Археологічні дослідження в Україні 2015 р.»</w:t>
      </w:r>
      <w:r w:rsidRPr="008C0ED0">
        <w:rPr>
          <w:sz w:val="28"/>
          <w:szCs w:val="28"/>
          <w:lang w:val="uk-UA"/>
        </w:rPr>
        <w:t xml:space="preserve">. Зібрано матеріали   до щорічного збірника </w:t>
      </w:r>
      <w:r w:rsidRPr="008C0ED0">
        <w:rPr>
          <w:b/>
          <w:bCs/>
          <w:sz w:val="28"/>
          <w:szCs w:val="28"/>
          <w:lang w:val="uk-UA"/>
        </w:rPr>
        <w:t>«Археологічні дослідження в Україні 2016»</w:t>
      </w:r>
      <w:r w:rsidRPr="008C0ED0">
        <w:rPr>
          <w:sz w:val="28"/>
          <w:szCs w:val="28"/>
          <w:lang w:val="uk-UA"/>
        </w:rPr>
        <w:t xml:space="preserve">. </w:t>
      </w:r>
    </w:p>
    <w:p w:rsidR="00105359" w:rsidRPr="008C0ED0" w:rsidRDefault="00105359" w:rsidP="00105359">
      <w:pPr>
        <w:widowControl w:val="0"/>
        <w:tabs>
          <w:tab w:val="left" w:pos="644"/>
        </w:tabs>
        <w:spacing w:line="360" w:lineRule="auto"/>
        <w:ind w:firstLine="709"/>
        <w:jc w:val="both"/>
        <w:rPr>
          <w:sz w:val="28"/>
          <w:szCs w:val="28"/>
          <w:lang w:val="uk-UA"/>
        </w:rPr>
      </w:pPr>
      <w:r w:rsidRPr="008C0ED0">
        <w:rPr>
          <w:sz w:val="28"/>
          <w:szCs w:val="28"/>
          <w:lang w:val="uk-UA"/>
        </w:rPr>
        <w:t xml:space="preserve">Для контролю  за вчасністю здачі, науковою інформативністю, структурою наукового звіту ведеться електронна база «Даних наукових звітів про польові археологічні дослідження», яка є продовженням електронної бази «Даних про видачу Кваліфікаційних документів (Відкритих листів)». </w:t>
      </w:r>
    </w:p>
    <w:p w:rsidR="00105359" w:rsidRPr="008C0ED0" w:rsidRDefault="00105359" w:rsidP="00105359">
      <w:pPr>
        <w:widowControl w:val="0"/>
        <w:tabs>
          <w:tab w:val="left" w:pos="644"/>
        </w:tabs>
        <w:spacing w:line="360" w:lineRule="auto"/>
        <w:ind w:firstLine="709"/>
        <w:jc w:val="both"/>
        <w:rPr>
          <w:sz w:val="28"/>
          <w:szCs w:val="28"/>
          <w:lang w:val="uk-UA"/>
        </w:rPr>
      </w:pPr>
      <w:r w:rsidRPr="008C0ED0">
        <w:rPr>
          <w:sz w:val="28"/>
          <w:szCs w:val="28"/>
          <w:lang w:val="uk-UA"/>
        </w:rPr>
        <w:t xml:space="preserve">Під час виконання планової теми у 2016 р. було прийнято та прорецензовано  </w:t>
      </w:r>
      <w:r w:rsidRPr="008C0ED0">
        <w:rPr>
          <w:b/>
          <w:sz w:val="28"/>
          <w:szCs w:val="28"/>
          <w:lang w:val="uk-UA"/>
        </w:rPr>
        <w:t xml:space="preserve">201 </w:t>
      </w:r>
      <w:r w:rsidRPr="008C0ED0">
        <w:rPr>
          <w:sz w:val="28"/>
          <w:szCs w:val="28"/>
          <w:lang w:val="uk-UA"/>
        </w:rPr>
        <w:t>науковий звіт (</w:t>
      </w:r>
      <w:proofErr w:type="spellStart"/>
      <w:r w:rsidRPr="008C0ED0">
        <w:rPr>
          <w:sz w:val="28"/>
          <w:szCs w:val="28"/>
          <w:lang w:val="uk-UA"/>
        </w:rPr>
        <w:t>таб</w:t>
      </w:r>
      <w:proofErr w:type="spellEnd"/>
      <w:r w:rsidRPr="008C0ED0">
        <w:rPr>
          <w:sz w:val="28"/>
          <w:szCs w:val="28"/>
          <w:lang w:val="uk-UA"/>
        </w:rPr>
        <w:t xml:space="preserve">. 3), вивчені зауваження рецензентів, що дало змогу вивчити помилки, які часто допускають дослідники. </w:t>
      </w:r>
    </w:p>
    <w:p w:rsidR="00105359" w:rsidRPr="008C0ED0" w:rsidRDefault="00105359">
      <w:pPr>
        <w:suppressAutoHyphens w:val="0"/>
        <w:spacing w:after="200" w:line="276" w:lineRule="auto"/>
        <w:rPr>
          <w:b/>
          <w:bCs/>
          <w:sz w:val="28"/>
          <w:szCs w:val="28"/>
          <w:lang w:val="uk-UA"/>
        </w:rPr>
      </w:pPr>
      <w:r w:rsidRPr="008C0ED0">
        <w:rPr>
          <w:b/>
          <w:bCs/>
          <w:sz w:val="28"/>
          <w:szCs w:val="28"/>
          <w:lang w:val="uk-UA"/>
        </w:rPr>
        <w:br w:type="page"/>
      </w:r>
    </w:p>
    <w:p w:rsidR="00105359" w:rsidRPr="008C0ED0" w:rsidRDefault="00105359" w:rsidP="00105359">
      <w:pPr>
        <w:widowControl w:val="0"/>
        <w:tabs>
          <w:tab w:val="left" w:pos="644"/>
        </w:tabs>
        <w:spacing w:line="360" w:lineRule="auto"/>
        <w:ind w:firstLine="567"/>
        <w:jc w:val="right"/>
        <w:rPr>
          <w:b/>
          <w:bCs/>
          <w:sz w:val="28"/>
          <w:szCs w:val="28"/>
          <w:lang w:val="uk-UA"/>
        </w:rPr>
      </w:pPr>
      <w:r w:rsidRPr="008C0ED0">
        <w:rPr>
          <w:b/>
          <w:bCs/>
          <w:sz w:val="28"/>
          <w:szCs w:val="28"/>
          <w:lang w:val="uk-UA"/>
        </w:rPr>
        <w:lastRenderedPageBreak/>
        <w:t>Таблиця 3.</w:t>
      </w:r>
    </w:p>
    <w:tbl>
      <w:tblPr>
        <w:tblW w:w="0" w:type="auto"/>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890"/>
        <w:gridCol w:w="890"/>
        <w:gridCol w:w="890"/>
        <w:gridCol w:w="890"/>
        <w:gridCol w:w="890"/>
        <w:gridCol w:w="890"/>
        <w:gridCol w:w="905"/>
      </w:tblGrid>
      <w:tr w:rsidR="00105359" w:rsidRPr="008C0ED0" w:rsidTr="00105359">
        <w:tc>
          <w:tcPr>
            <w:tcW w:w="7135" w:type="dxa"/>
            <w:gridSpan w:val="8"/>
            <w:shd w:val="clear" w:color="auto" w:fill="C0C0C0"/>
          </w:tcPr>
          <w:p w:rsidR="00105359" w:rsidRPr="008C0ED0" w:rsidRDefault="00105359" w:rsidP="00105359">
            <w:pPr>
              <w:snapToGrid w:val="0"/>
              <w:ind w:firstLine="708"/>
              <w:jc w:val="center"/>
              <w:rPr>
                <w:b/>
                <w:lang w:val="uk-UA"/>
              </w:rPr>
            </w:pPr>
            <w:r w:rsidRPr="008C0ED0">
              <w:rPr>
                <w:b/>
                <w:sz w:val="28"/>
                <w:szCs w:val="28"/>
                <w:lang w:val="uk-UA"/>
              </w:rPr>
              <w:t>Кількість поданих наукових звітів про проведенні польові археологічні дослідження у 2016 р.</w:t>
            </w:r>
          </w:p>
          <w:p w:rsidR="00105359" w:rsidRPr="008C0ED0" w:rsidRDefault="00105359" w:rsidP="00105359">
            <w:pPr>
              <w:snapToGrid w:val="0"/>
              <w:ind w:firstLine="708"/>
              <w:jc w:val="center"/>
              <w:rPr>
                <w:b/>
                <w:lang w:val="uk-UA"/>
              </w:rPr>
            </w:pPr>
            <w:r w:rsidRPr="008C0ED0">
              <w:rPr>
                <w:b/>
                <w:sz w:val="28"/>
                <w:szCs w:val="28"/>
                <w:lang w:val="uk-UA"/>
              </w:rPr>
              <w:t>201, у т. ч. за</w:t>
            </w:r>
          </w:p>
        </w:tc>
      </w:tr>
      <w:tr w:rsidR="00105359" w:rsidRPr="008C0ED0" w:rsidTr="00105359">
        <w:tc>
          <w:tcPr>
            <w:tcW w:w="890" w:type="dxa"/>
            <w:shd w:val="clear" w:color="auto" w:fill="C0C0C0"/>
          </w:tcPr>
          <w:p w:rsidR="00105359" w:rsidRPr="008C0ED0" w:rsidRDefault="00105359" w:rsidP="00105359">
            <w:pPr>
              <w:snapToGrid w:val="0"/>
              <w:jc w:val="center"/>
              <w:rPr>
                <w:b/>
                <w:lang w:val="uk-UA"/>
              </w:rPr>
            </w:pPr>
            <w:r w:rsidRPr="008C0ED0">
              <w:rPr>
                <w:b/>
                <w:sz w:val="28"/>
                <w:szCs w:val="28"/>
                <w:lang w:val="uk-UA"/>
              </w:rPr>
              <w:t>2009</w:t>
            </w:r>
          </w:p>
        </w:tc>
        <w:tc>
          <w:tcPr>
            <w:tcW w:w="890" w:type="dxa"/>
            <w:shd w:val="clear" w:color="auto" w:fill="C0C0C0"/>
          </w:tcPr>
          <w:p w:rsidR="00105359" w:rsidRPr="008C0ED0" w:rsidRDefault="00105359" w:rsidP="00105359">
            <w:pPr>
              <w:snapToGrid w:val="0"/>
              <w:jc w:val="center"/>
              <w:rPr>
                <w:b/>
                <w:lang w:val="uk-UA"/>
              </w:rPr>
            </w:pPr>
            <w:r w:rsidRPr="008C0ED0">
              <w:rPr>
                <w:b/>
                <w:sz w:val="28"/>
                <w:szCs w:val="28"/>
                <w:lang w:val="uk-UA"/>
              </w:rPr>
              <w:t>2010</w:t>
            </w:r>
          </w:p>
        </w:tc>
        <w:tc>
          <w:tcPr>
            <w:tcW w:w="890" w:type="dxa"/>
            <w:shd w:val="clear" w:color="auto" w:fill="C0C0C0"/>
          </w:tcPr>
          <w:p w:rsidR="00105359" w:rsidRPr="008C0ED0" w:rsidRDefault="00105359" w:rsidP="00105359">
            <w:pPr>
              <w:snapToGrid w:val="0"/>
              <w:jc w:val="center"/>
              <w:rPr>
                <w:b/>
                <w:lang w:val="uk-UA"/>
              </w:rPr>
            </w:pPr>
            <w:r w:rsidRPr="008C0ED0">
              <w:rPr>
                <w:b/>
                <w:sz w:val="28"/>
                <w:szCs w:val="28"/>
                <w:lang w:val="uk-UA"/>
              </w:rPr>
              <w:t>2011</w:t>
            </w:r>
          </w:p>
        </w:tc>
        <w:tc>
          <w:tcPr>
            <w:tcW w:w="890" w:type="dxa"/>
            <w:shd w:val="clear" w:color="auto" w:fill="C0C0C0"/>
          </w:tcPr>
          <w:p w:rsidR="00105359" w:rsidRPr="008C0ED0" w:rsidRDefault="00105359" w:rsidP="00105359">
            <w:pPr>
              <w:snapToGrid w:val="0"/>
              <w:jc w:val="center"/>
              <w:rPr>
                <w:b/>
                <w:lang w:val="uk-UA"/>
              </w:rPr>
            </w:pPr>
            <w:r w:rsidRPr="008C0ED0">
              <w:rPr>
                <w:b/>
                <w:sz w:val="28"/>
                <w:szCs w:val="28"/>
                <w:lang w:val="uk-UA"/>
              </w:rPr>
              <w:t>2012</w:t>
            </w:r>
          </w:p>
        </w:tc>
        <w:tc>
          <w:tcPr>
            <w:tcW w:w="890" w:type="dxa"/>
            <w:shd w:val="clear" w:color="auto" w:fill="C0C0C0"/>
          </w:tcPr>
          <w:p w:rsidR="00105359" w:rsidRPr="008C0ED0" w:rsidRDefault="00105359" w:rsidP="00105359">
            <w:pPr>
              <w:snapToGrid w:val="0"/>
              <w:jc w:val="center"/>
              <w:rPr>
                <w:b/>
                <w:lang w:val="uk-UA"/>
              </w:rPr>
            </w:pPr>
            <w:r w:rsidRPr="008C0ED0">
              <w:rPr>
                <w:b/>
                <w:sz w:val="28"/>
                <w:szCs w:val="28"/>
                <w:lang w:val="uk-UA"/>
              </w:rPr>
              <w:t>2013</w:t>
            </w:r>
          </w:p>
        </w:tc>
        <w:tc>
          <w:tcPr>
            <w:tcW w:w="890" w:type="dxa"/>
            <w:shd w:val="clear" w:color="auto" w:fill="C0C0C0"/>
          </w:tcPr>
          <w:p w:rsidR="00105359" w:rsidRPr="008C0ED0" w:rsidRDefault="00105359" w:rsidP="00105359">
            <w:pPr>
              <w:snapToGrid w:val="0"/>
              <w:jc w:val="center"/>
              <w:rPr>
                <w:b/>
                <w:lang w:val="uk-UA"/>
              </w:rPr>
            </w:pPr>
            <w:r w:rsidRPr="008C0ED0">
              <w:rPr>
                <w:b/>
                <w:sz w:val="28"/>
                <w:szCs w:val="28"/>
                <w:lang w:val="uk-UA"/>
              </w:rPr>
              <w:t>2014</w:t>
            </w:r>
          </w:p>
        </w:tc>
        <w:tc>
          <w:tcPr>
            <w:tcW w:w="890" w:type="dxa"/>
            <w:shd w:val="clear" w:color="auto" w:fill="C0C0C0"/>
          </w:tcPr>
          <w:p w:rsidR="00105359" w:rsidRPr="008C0ED0" w:rsidRDefault="00105359" w:rsidP="00105359">
            <w:pPr>
              <w:snapToGrid w:val="0"/>
              <w:jc w:val="center"/>
              <w:rPr>
                <w:b/>
                <w:lang w:val="uk-UA"/>
              </w:rPr>
            </w:pPr>
            <w:r w:rsidRPr="008C0ED0">
              <w:rPr>
                <w:b/>
                <w:sz w:val="28"/>
                <w:szCs w:val="28"/>
                <w:lang w:val="uk-UA"/>
              </w:rPr>
              <w:t>2015</w:t>
            </w:r>
          </w:p>
        </w:tc>
        <w:tc>
          <w:tcPr>
            <w:tcW w:w="905" w:type="dxa"/>
            <w:shd w:val="clear" w:color="auto" w:fill="C0C0C0"/>
          </w:tcPr>
          <w:p w:rsidR="00105359" w:rsidRPr="008C0ED0" w:rsidRDefault="00105359" w:rsidP="00105359">
            <w:pPr>
              <w:snapToGrid w:val="0"/>
              <w:jc w:val="center"/>
              <w:rPr>
                <w:b/>
                <w:lang w:val="uk-UA"/>
              </w:rPr>
            </w:pPr>
            <w:r w:rsidRPr="008C0ED0">
              <w:rPr>
                <w:b/>
                <w:sz w:val="28"/>
                <w:szCs w:val="28"/>
                <w:lang w:val="uk-UA"/>
              </w:rPr>
              <w:t>2016</w:t>
            </w:r>
          </w:p>
        </w:tc>
      </w:tr>
      <w:tr w:rsidR="00105359" w:rsidRPr="008C0ED0" w:rsidTr="00B527EB">
        <w:tc>
          <w:tcPr>
            <w:tcW w:w="890"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2</w:t>
            </w:r>
          </w:p>
        </w:tc>
        <w:tc>
          <w:tcPr>
            <w:tcW w:w="890"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2</w:t>
            </w:r>
          </w:p>
        </w:tc>
        <w:tc>
          <w:tcPr>
            <w:tcW w:w="890"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3</w:t>
            </w:r>
          </w:p>
        </w:tc>
        <w:tc>
          <w:tcPr>
            <w:tcW w:w="890"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6</w:t>
            </w:r>
          </w:p>
        </w:tc>
        <w:tc>
          <w:tcPr>
            <w:tcW w:w="890"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19</w:t>
            </w:r>
          </w:p>
        </w:tc>
        <w:tc>
          <w:tcPr>
            <w:tcW w:w="890"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26</w:t>
            </w:r>
          </w:p>
        </w:tc>
        <w:tc>
          <w:tcPr>
            <w:tcW w:w="890"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134</w:t>
            </w:r>
          </w:p>
        </w:tc>
        <w:tc>
          <w:tcPr>
            <w:tcW w:w="905" w:type="dxa"/>
            <w:shd w:val="clear" w:color="auto" w:fill="auto"/>
          </w:tcPr>
          <w:p w:rsidR="00105359" w:rsidRPr="008C0ED0" w:rsidRDefault="00105359" w:rsidP="00105359">
            <w:pPr>
              <w:snapToGrid w:val="0"/>
              <w:spacing w:line="360" w:lineRule="auto"/>
              <w:ind w:hanging="108"/>
              <w:jc w:val="center"/>
              <w:rPr>
                <w:b/>
                <w:lang w:val="uk-UA"/>
              </w:rPr>
            </w:pPr>
            <w:r w:rsidRPr="008C0ED0">
              <w:rPr>
                <w:b/>
                <w:sz w:val="28"/>
                <w:szCs w:val="28"/>
                <w:lang w:val="uk-UA"/>
              </w:rPr>
              <w:t>9</w:t>
            </w:r>
          </w:p>
        </w:tc>
      </w:tr>
    </w:tbl>
    <w:p w:rsidR="00105359" w:rsidRPr="008C0ED0" w:rsidRDefault="00105359" w:rsidP="00105359">
      <w:pPr>
        <w:spacing w:line="276" w:lineRule="auto"/>
        <w:ind w:firstLine="680"/>
        <w:jc w:val="both"/>
        <w:rPr>
          <w:sz w:val="28"/>
          <w:szCs w:val="28"/>
          <w:lang w:val="uk-UA"/>
        </w:rPr>
      </w:pPr>
      <w:r w:rsidRPr="008C0ED0">
        <w:rPr>
          <w:sz w:val="28"/>
          <w:szCs w:val="28"/>
          <w:lang w:val="uk-UA"/>
        </w:rPr>
        <w:t>Протягом 2016 року проводилась консультаційна та нормативно-методична робота співробітниками відділу.</w:t>
      </w:r>
    </w:p>
    <w:p w:rsidR="00105359" w:rsidRPr="008C0ED0" w:rsidRDefault="00105359" w:rsidP="00105359">
      <w:pPr>
        <w:spacing w:line="276" w:lineRule="auto"/>
        <w:ind w:firstLine="680"/>
        <w:jc w:val="both"/>
        <w:rPr>
          <w:sz w:val="28"/>
          <w:szCs w:val="28"/>
          <w:lang w:val="uk-UA"/>
        </w:rPr>
      </w:pPr>
      <w:r w:rsidRPr="008C0ED0">
        <w:rPr>
          <w:sz w:val="28"/>
          <w:szCs w:val="28"/>
          <w:lang w:val="uk-UA"/>
        </w:rPr>
        <w:t xml:space="preserve">Складено листів до установ та організацій загальною кількістю 1,0 д.а. щодо дотримання </w:t>
      </w:r>
      <w:proofErr w:type="spellStart"/>
      <w:r w:rsidRPr="008C0ED0">
        <w:rPr>
          <w:sz w:val="28"/>
          <w:szCs w:val="28"/>
          <w:lang w:val="uk-UA"/>
        </w:rPr>
        <w:t>пам</w:t>
      </w:r>
      <w:r w:rsidR="00675325" w:rsidRPr="008C0ED0">
        <w:rPr>
          <w:sz w:val="28"/>
          <w:szCs w:val="28"/>
          <w:lang w:val="uk-UA"/>
        </w:rPr>
        <w:t>’</w:t>
      </w:r>
      <w:r w:rsidRPr="008C0ED0">
        <w:rPr>
          <w:sz w:val="28"/>
          <w:szCs w:val="28"/>
          <w:lang w:val="uk-UA"/>
        </w:rPr>
        <w:t>яткоохоронного</w:t>
      </w:r>
      <w:proofErr w:type="spellEnd"/>
      <w:r w:rsidRPr="008C0ED0">
        <w:rPr>
          <w:sz w:val="28"/>
          <w:szCs w:val="28"/>
          <w:lang w:val="uk-UA"/>
        </w:rPr>
        <w:t xml:space="preserve"> законодавства, необхідності проведення археологічних досліджень, руйнації пам‘яток, з питань пояснення методики археологічного дослідження, а також щодо занесення археологічних об’єктів до Реєстру, складання облікової документації.</w:t>
      </w:r>
    </w:p>
    <w:p w:rsidR="00105359" w:rsidRPr="008C0ED0" w:rsidRDefault="00105359" w:rsidP="00105359">
      <w:pPr>
        <w:spacing w:line="276" w:lineRule="auto"/>
        <w:ind w:firstLine="680"/>
        <w:jc w:val="both"/>
        <w:rPr>
          <w:sz w:val="28"/>
          <w:szCs w:val="28"/>
          <w:lang w:val="uk-UA"/>
        </w:rPr>
      </w:pPr>
    </w:p>
    <w:p w:rsidR="00105359" w:rsidRPr="008C0ED0" w:rsidRDefault="00105359" w:rsidP="00105359">
      <w:pPr>
        <w:spacing w:line="276" w:lineRule="auto"/>
        <w:ind w:firstLine="680"/>
        <w:jc w:val="both"/>
        <w:rPr>
          <w:sz w:val="28"/>
          <w:szCs w:val="28"/>
          <w:lang w:val="uk-UA"/>
        </w:rPr>
      </w:pPr>
      <w:r w:rsidRPr="008C0ED0">
        <w:rPr>
          <w:sz w:val="28"/>
          <w:szCs w:val="28"/>
          <w:lang w:val="uk-UA"/>
        </w:rPr>
        <w:t xml:space="preserve">Проведено перевірки щодо дотримання методики польових досліджень та здійснений моніторинг стану пам’яток археології у шести археологічних експедиціях, що проводилися наступними дослідниками: Готуном І.А., Відейко М.Ю., Залізняком Л.Л., Козир І.А., </w:t>
      </w:r>
      <w:proofErr w:type="spellStart"/>
      <w:r w:rsidRPr="008C0ED0">
        <w:rPr>
          <w:sz w:val="28"/>
          <w:szCs w:val="28"/>
          <w:lang w:val="uk-UA"/>
        </w:rPr>
        <w:t>Корвін</w:t>
      </w:r>
      <w:r w:rsidR="009B7BEB" w:rsidRPr="008C0ED0">
        <w:rPr>
          <w:sz w:val="28"/>
          <w:szCs w:val="28"/>
          <w:lang w:val="uk-UA"/>
        </w:rPr>
        <w:t>и</w:t>
      </w:r>
      <w:r w:rsidRPr="008C0ED0">
        <w:rPr>
          <w:sz w:val="28"/>
          <w:szCs w:val="28"/>
          <w:lang w:val="uk-UA"/>
        </w:rPr>
        <w:t>м-Піторовським</w:t>
      </w:r>
      <w:proofErr w:type="spellEnd"/>
      <w:r w:rsidRPr="008C0ED0">
        <w:rPr>
          <w:sz w:val="28"/>
          <w:szCs w:val="28"/>
          <w:lang w:val="uk-UA"/>
        </w:rPr>
        <w:t xml:space="preserve"> О.Г. та </w:t>
      </w:r>
      <w:proofErr w:type="spellStart"/>
      <w:r w:rsidRPr="008C0ED0">
        <w:rPr>
          <w:sz w:val="28"/>
          <w:szCs w:val="28"/>
          <w:lang w:val="uk-UA"/>
        </w:rPr>
        <w:t>Кіосаком</w:t>
      </w:r>
      <w:proofErr w:type="spellEnd"/>
      <w:r w:rsidRPr="008C0ED0">
        <w:rPr>
          <w:sz w:val="28"/>
          <w:szCs w:val="28"/>
          <w:lang w:val="uk-UA"/>
        </w:rPr>
        <w:t xml:space="preserve"> Д.В. у межах Київської, Кіровоградської, Черкаської та Одеської областей у серпні 2016 року.</w:t>
      </w:r>
    </w:p>
    <w:p w:rsidR="00105359" w:rsidRPr="008C0ED0" w:rsidRDefault="00105359" w:rsidP="00105359">
      <w:pPr>
        <w:spacing w:line="276" w:lineRule="auto"/>
        <w:ind w:firstLine="680"/>
        <w:jc w:val="both"/>
        <w:rPr>
          <w:sz w:val="28"/>
          <w:szCs w:val="28"/>
          <w:lang w:val="uk-UA"/>
        </w:rPr>
      </w:pPr>
      <w:r w:rsidRPr="008C0ED0">
        <w:rPr>
          <w:sz w:val="28"/>
          <w:szCs w:val="28"/>
          <w:lang w:val="uk-UA"/>
        </w:rPr>
        <w:t xml:space="preserve">Склад комісії: </w:t>
      </w:r>
    </w:p>
    <w:p w:rsidR="00105359" w:rsidRPr="008C0ED0" w:rsidRDefault="00105359" w:rsidP="00105359">
      <w:pPr>
        <w:spacing w:line="276" w:lineRule="auto"/>
        <w:ind w:firstLine="680"/>
        <w:jc w:val="both"/>
        <w:rPr>
          <w:sz w:val="28"/>
          <w:szCs w:val="28"/>
          <w:lang w:val="uk-UA"/>
        </w:rPr>
      </w:pPr>
      <w:r w:rsidRPr="008C0ED0">
        <w:rPr>
          <w:sz w:val="28"/>
          <w:szCs w:val="28"/>
          <w:lang w:val="uk-UA"/>
        </w:rPr>
        <w:t xml:space="preserve">заввідділом </w:t>
      </w:r>
      <w:r w:rsidR="004A504A" w:rsidRPr="008C0ED0">
        <w:rPr>
          <w:sz w:val="28"/>
          <w:szCs w:val="28"/>
          <w:lang w:val="uk-UA"/>
        </w:rPr>
        <w:t>Поль</w:t>
      </w:r>
      <w:r w:rsidRPr="008C0ED0">
        <w:rPr>
          <w:sz w:val="28"/>
          <w:szCs w:val="28"/>
          <w:lang w:val="uk-UA"/>
        </w:rPr>
        <w:t>овий комітет</w:t>
      </w:r>
      <w:r w:rsidR="004A504A" w:rsidRPr="008C0ED0">
        <w:rPr>
          <w:sz w:val="28"/>
          <w:szCs w:val="28"/>
          <w:lang w:val="uk-UA"/>
        </w:rPr>
        <w:t xml:space="preserve"> ІА НАНУ</w:t>
      </w:r>
      <w:r w:rsidRPr="008C0ED0">
        <w:rPr>
          <w:sz w:val="28"/>
          <w:szCs w:val="28"/>
          <w:lang w:val="uk-UA"/>
        </w:rPr>
        <w:t>, к.і.н., Болтрик Ю.В.;</w:t>
      </w:r>
    </w:p>
    <w:p w:rsidR="00105359" w:rsidRPr="008C0ED0" w:rsidRDefault="00105359" w:rsidP="00105359">
      <w:pPr>
        <w:spacing w:line="276" w:lineRule="auto"/>
        <w:ind w:firstLine="680"/>
        <w:jc w:val="both"/>
        <w:rPr>
          <w:sz w:val="28"/>
          <w:szCs w:val="28"/>
          <w:lang w:val="uk-UA"/>
        </w:rPr>
      </w:pPr>
      <w:r w:rsidRPr="008C0ED0">
        <w:rPr>
          <w:sz w:val="28"/>
          <w:szCs w:val="28"/>
          <w:lang w:val="uk-UA"/>
        </w:rPr>
        <w:t xml:space="preserve">заввідділом Енеоліту-бронзового віку ІА НАНУ, д.і.н. </w:t>
      </w:r>
      <w:proofErr w:type="spellStart"/>
      <w:r w:rsidRPr="008C0ED0">
        <w:rPr>
          <w:sz w:val="28"/>
          <w:szCs w:val="28"/>
          <w:lang w:val="uk-UA"/>
        </w:rPr>
        <w:t>Отрощенко</w:t>
      </w:r>
      <w:proofErr w:type="spellEnd"/>
      <w:r w:rsidRPr="008C0ED0">
        <w:rPr>
          <w:sz w:val="28"/>
          <w:szCs w:val="28"/>
          <w:lang w:val="uk-UA"/>
        </w:rPr>
        <w:t xml:space="preserve"> В.В.</w:t>
      </w:r>
      <w:r w:rsidR="00184A14" w:rsidRPr="008C0ED0">
        <w:rPr>
          <w:sz w:val="28"/>
          <w:szCs w:val="28"/>
          <w:lang w:val="uk-UA"/>
        </w:rPr>
        <w:t>;</w:t>
      </w:r>
    </w:p>
    <w:p w:rsidR="00105359" w:rsidRPr="008C0ED0" w:rsidRDefault="00105359" w:rsidP="00105359">
      <w:pPr>
        <w:spacing w:line="276" w:lineRule="auto"/>
        <w:ind w:firstLine="680"/>
        <w:jc w:val="both"/>
        <w:rPr>
          <w:sz w:val="28"/>
          <w:szCs w:val="28"/>
          <w:lang w:val="uk-UA"/>
        </w:rPr>
      </w:pPr>
      <w:r w:rsidRPr="008C0ED0">
        <w:rPr>
          <w:sz w:val="28"/>
          <w:szCs w:val="28"/>
          <w:lang w:val="uk-UA"/>
        </w:rPr>
        <w:t>м.н.с. відділу Поль</w:t>
      </w:r>
      <w:r w:rsidR="00701E2D" w:rsidRPr="008C0ED0">
        <w:rPr>
          <w:sz w:val="28"/>
          <w:szCs w:val="28"/>
          <w:lang w:val="uk-UA"/>
        </w:rPr>
        <w:t>ов</w:t>
      </w:r>
      <w:r w:rsidRPr="008C0ED0">
        <w:rPr>
          <w:sz w:val="28"/>
          <w:szCs w:val="28"/>
          <w:lang w:val="uk-UA"/>
        </w:rPr>
        <w:t>ий комітет</w:t>
      </w:r>
      <w:r w:rsidR="004A504A" w:rsidRPr="008C0ED0">
        <w:rPr>
          <w:sz w:val="28"/>
          <w:szCs w:val="28"/>
          <w:lang w:val="uk-UA"/>
        </w:rPr>
        <w:t xml:space="preserve"> ІА НАНУ</w:t>
      </w:r>
      <w:r w:rsidRPr="008C0ED0">
        <w:rPr>
          <w:sz w:val="28"/>
          <w:szCs w:val="28"/>
          <w:lang w:val="uk-UA"/>
        </w:rPr>
        <w:t xml:space="preserve"> </w:t>
      </w:r>
      <w:proofErr w:type="spellStart"/>
      <w:r w:rsidRPr="008C0ED0">
        <w:rPr>
          <w:sz w:val="28"/>
          <w:szCs w:val="28"/>
          <w:lang w:val="uk-UA"/>
        </w:rPr>
        <w:t>Ліфантій</w:t>
      </w:r>
      <w:proofErr w:type="spellEnd"/>
      <w:r w:rsidRPr="008C0ED0">
        <w:rPr>
          <w:sz w:val="28"/>
          <w:szCs w:val="28"/>
          <w:lang w:val="uk-UA"/>
        </w:rPr>
        <w:t xml:space="preserve"> О.В. </w:t>
      </w:r>
    </w:p>
    <w:sectPr w:rsidR="00105359" w:rsidRPr="008C0ED0" w:rsidSect="009C3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105359"/>
    <w:rsid w:val="00011D4C"/>
    <w:rsid w:val="00012FA9"/>
    <w:rsid w:val="00105359"/>
    <w:rsid w:val="001572E7"/>
    <w:rsid w:val="00184A14"/>
    <w:rsid w:val="001C709C"/>
    <w:rsid w:val="00266F92"/>
    <w:rsid w:val="002E2AED"/>
    <w:rsid w:val="003753CD"/>
    <w:rsid w:val="00454A03"/>
    <w:rsid w:val="004A504A"/>
    <w:rsid w:val="005B7026"/>
    <w:rsid w:val="005F145C"/>
    <w:rsid w:val="00653BEF"/>
    <w:rsid w:val="00675325"/>
    <w:rsid w:val="00701E2D"/>
    <w:rsid w:val="008C0ED0"/>
    <w:rsid w:val="00982134"/>
    <w:rsid w:val="009958CE"/>
    <w:rsid w:val="009A2F49"/>
    <w:rsid w:val="009B7BEB"/>
    <w:rsid w:val="009C3F90"/>
    <w:rsid w:val="00B36D3E"/>
    <w:rsid w:val="00CE5FBE"/>
    <w:rsid w:val="00E66A0D"/>
    <w:rsid w:val="00FE4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59"/>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5359"/>
    <w:pPr>
      <w:spacing w:line="360" w:lineRule="auto"/>
      <w:jc w:val="both"/>
    </w:pPr>
    <w:rPr>
      <w:sz w:val="28"/>
      <w:szCs w:val="20"/>
    </w:rPr>
  </w:style>
  <w:style w:type="character" w:customStyle="1" w:styleId="a4">
    <w:name w:val="Основной текст Знак"/>
    <w:basedOn w:val="a0"/>
    <w:link w:val="a3"/>
    <w:rsid w:val="00105359"/>
    <w:rPr>
      <w:rFonts w:eastAsia="Times New Roman"/>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8</cp:revision>
  <dcterms:created xsi:type="dcterms:W3CDTF">2017-04-20T09:50:00Z</dcterms:created>
  <dcterms:modified xsi:type="dcterms:W3CDTF">2017-06-01T12:12:00Z</dcterms:modified>
</cp:coreProperties>
</file>